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D7812B" w14:textId="65120F77" w:rsidR="004B2808" w:rsidRPr="009005AC" w:rsidRDefault="5ABE9782" w:rsidP="6EDB71CF">
      <w:pPr>
        <w:pStyle w:val="Heading1"/>
        <w:rPr>
          <w:rFonts w:ascii="Arial" w:eastAsia="Arial" w:hAnsi="Arial" w:cs="Arial"/>
        </w:rPr>
      </w:pPr>
      <w:r w:rsidRPr="6EDB71CF">
        <w:rPr>
          <w:rFonts w:ascii="Arial" w:eastAsia="Arial" w:hAnsi="Arial" w:cs="Arial"/>
        </w:rPr>
        <w:t>Multi-Currency Support</w:t>
      </w:r>
    </w:p>
    <w:p w14:paraId="7909EF16" w14:textId="034BD64A" w:rsidR="009005AC" w:rsidRDefault="5ABE9782" w:rsidP="6EDB71CF">
      <w:pPr>
        <w:rPr>
          <w:rFonts w:eastAsia="Arial"/>
        </w:rPr>
      </w:pPr>
      <w:r w:rsidRPr="6EDB71CF">
        <w:rPr>
          <w:rFonts w:eastAsia="Arial"/>
        </w:rPr>
        <w:t xml:space="preserve">We are </w:t>
      </w:r>
      <w:r w:rsidR="6B790207" w:rsidRPr="6EDB71CF">
        <w:rPr>
          <w:rFonts w:eastAsia="Arial"/>
        </w:rPr>
        <w:t xml:space="preserve">thrilled to introduce multi-currency support, </w:t>
      </w:r>
      <w:r w:rsidR="49F5A504" w:rsidRPr="6EDB71CF">
        <w:rPr>
          <w:rFonts w:eastAsia="Arial"/>
        </w:rPr>
        <w:t xml:space="preserve">a new feature </w:t>
      </w:r>
      <w:r w:rsidR="0C3BD1A7" w:rsidRPr="6EDB71CF">
        <w:rPr>
          <w:rFonts w:eastAsia="Arial"/>
        </w:rPr>
        <w:t xml:space="preserve">designed to enhance </w:t>
      </w:r>
      <w:r w:rsidR="6B790207" w:rsidRPr="6EDB71CF">
        <w:rPr>
          <w:rFonts w:eastAsia="Arial"/>
        </w:rPr>
        <w:t>the usability of our application for customers</w:t>
      </w:r>
      <w:r w:rsidR="0EAFF1AA" w:rsidRPr="6EDB71CF">
        <w:rPr>
          <w:rFonts w:eastAsia="Arial"/>
        </w:rPr>
        <w:t xml:space="preserve"> that purchase and receive in multiple countries</w:t>
      </w:r>
      <w:r w:rsidR="6B790207" w:rsidRPr="6EDB71CF">
        <w:rPr>
          <w:rFonts w:eastAsia="Arial"/>
        </w:rPr>
        <w:t xml:space="preserve">. This functionality </w:t>
      </w:r>
      <w:r w:rsidR="0103C2F2" w:rsidRPr="6EDB71CF">
        <w:rPr>
          <w:rFonts w:eastAsia="Arial"/>
        </w:rPr>
        <w:t xml:space="preserve">allows </w:t>
      </w:r>
      <w:r w:rsidR="6B790207" w:rsidRPr="6EDB71CF">
        <w:rPr>
          <w:rFonts w:eastAsia="Arial"/>
        </w:rPr>
        <w:t xml:space="preserve">you to manage </w:t>
      </w:r>
      <w:r w:rsidR="5759AF41" w:rsidRPr="6EDB71CF">
        <w:rPr>
          <w:rFonts w:eastAsia="Arial"/>
        </w:rPr>
        <w:t>multiple currencies</w:t>
      </w:r>
      <w:r w:rsidR="6A28F07F" w:rsidRPr="6EDB71CF">
        <w:rPr>
          <w:rFonts w:eastAsia="Arial"/>
        </w:rPr>
        <w:t xml:space="preserve"> and their exchange rates</w:t>
      </w:r>
      <w:r w:rsidR="5759AF41" w:rsidRPr="6EDB71CF">
        <w:rPr>
          <w:rFonts w:eastAsia="Arial"/>
        </w:rPr>
        <w:t xml:space="preserve"> seamlessly, ensuring accurate financial transactions </w:t>
      </w:r>
      <w:r w:rsidR="3B49A656" w:rsidRPr="6EDB71CF">
        <w:rPr>
          <w:rFonts w:eastAsia="Arial"/>
        </w:rPr>
        <w:t>worldwide</w:t>
      </w:r>
      <w:r w:rsidR="5759AF41" w:rsidRPr="6EDB71CF">
        <w:rPr>
          <w:rFonts w:eastAsia="Arial"/>
        </w:rPr>
        <w:t xml:space="preserve">. </w:t>
      </w:r>
    </w:p>
    <w:p w14:paraId="7AB35BDA" w14:textId="7725C30A" w:rsidR="004D23F0" w:rsidRDefault="00F8286F" w:rsidP="6EDB71CF">
      <w:pPr>
        <w:rPr>
          <w:rFonts w:eastAsia="Arial"/>
        </w:rPr>
      </w:pPr>
      <w:r>
        <w:rPr>
          <w:noProof/>
        </w:rPr>
        <w:drawing>
          <wp:inline distT="0" distB="0" distL="0" distR="0" wp14:anchorId="7EB85076" wp14:editId="12717FA0">
            <wp:extent cx="4834622" cy="2660647"/>
            <wp:effectExtent l="0" t="0" r="0" b="0"/>
            <wp:docPr id="313024214" name="Picture 2" descr="A computer with a screen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024214" name="Picture 2" descr="A computer with a screen on it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132" b="32179"/>
                    <a:stretch/>
                  </pic:blipFill>
                  <pic:spPr bwMode="auto">
                    <a:xfrm>
                      <a:off x="0" y="0"/>
                      <a:ext cx="4834622" cy="26606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058802" w14:textId="52198745" w:rsidR="00136F93" w:rsidRDefault="4AD30945" w:rsidP="6EDB71CF">
      <w:pPr>
        <w:pStyle w:val="Heading2"/>
        <w:rPr>
          <w:rFonts w:ascii="Arial" w:eastAsia="Arial" w:hAnsi="Arial" w:cs="Arial"/>
          <w:sz w:val="32"/>
          <w:szCs w:val="32"/>
        </w:rPr>
      </w:pPr>
      <w:r w:rsidRPr="6EDB71CF">
        <w:rPr>
          <w:rFonts w:ascii="Arial" w:eastAsia="Arial" w:hAnsi="Arial" w:cs="Arial"/>
          <w:sz w:val="32"/>
          <w:szCs w:val="32"/>
        </w:rPr>
        <w:t>Why this feature?</w:t>
      </w:r>
    </w:p>
    <w:p w14:paraId="2E3F86ED" w14:textId="5588BF3E" w:rsidR="00136F93" w:rsidRDefault="4545C521" w:rsidP="6EDB71CF">
      <w:pPr>
        <w:rPr>
          <w:rFonts w:eastAsia="Arial"/>
        </w:rPr>
      </w:pPr>
      <w:r w:rsidRPr="6EDB71CF">
        <w:rPr>
          <w:rFonts w:eastAsia="Arial"/>
        </w:rPr>
        <w:t>M</w:t>
      </w:r>
      <w:r w:rsidR="3EA0F45F" w:rsidRPr="6EDB71CF">
        <w:rPr>
          <w:rFonts w:eastAsia="Arial"/>
        </w:rPr>
        <w:t>ulti-currency support facilitates s</w:t>
      </w:r>
      <w:r w:rsidR="0C734434" w:rsidRPr="6EDB71CF">
        <w:rPr>
          <w:rFonts w:eastAsia="Arial"/>
        </w:rPr>
        <w:t xml:space="preserve">mooth </w:t>
      </w:r>
      <w:r w:rsidR="3EA0F45F" w:rsidRPr="6EDB71CF">
        <w:rPr>
          <w:rFonts w:eastAsia="Arial"/>
        </w:rPr>
        <w:t>financial operation</w:t>
      </w:r>
      <w:r w:rsidR="0784DEF6" w:rsidRPr="6EDB71CF">
        <w:rPr>
          <w:rFonts w:eastAsia="Arial"/>
        </w:rPr>
        <w:t>s</w:t>
      </w:r>
      <w:r w:rsidR="3EA0F45F" w:rsidRPr="6EDB71CF">
        <w:rPr>
          <w:rFonts w:eastAsia="Arial"/>
        </w:rPr>
        <w:t xml:space="preserve"> across different countries </w:t>
      </w:r>
      <w:r w:rsidR="2CC1C552" w:rsidRPr="6EDB71CF">
        <w:rPr>
          <w:rFonts w:eastAsia="Arial"/>
        </w:rPr>
        <w:t xml:space="preserve">by allowing businesses to handle transactions in the native currencies of their international suppliers and customers. </w:t>
      </w:r>
    </w:p>
    <w:p w14:paraId="124A64B1" w14:textId="7FB48F26" w:rsidR="00136F93" w:rsidRDefault="4AD30945" w:rsidP="6EDB71CF">
      <w:pPr>
        <w:pStyle w:val="ListParagraph"/>
        <w:numPr>
          <w:ilvl w:val="0"/>
          <w:numId w:val="13"/>
        </w:numPr>
        <w:rPr>
          <w:rFonts w:eastAsia="Arial"/>
        </w:rPr>
      </w:pPr>
      <w:r w:rsidRPr="6EDB71CF">
        <w:rPr>
          <w:rFonts w:eastAsia="Arial"/>
          <w:b/>
          <w:bCs/>
        </w:rPr>
        <w:t>Example:</w:t>
      </w:r>
      <w:r w:rsidRPr="6EDB71CF">
        <w:rPr>
          <w:rFonts w:eastAsia="Arial"/>
        </w:rPr>
        <w:t xml:space="preserve"> </w:t>
      </w:r>
      <w:r w:rsidR="47E6B195" w:rsidRPr="6EDB71CF">
        <w:rPr>
          <w:rFonts w:eastAsia="Arial"/>
        </w:rPr>
        <w:t xml:space="preserve">Consider a manufacturing firm that imports specialty components from several countries. With multi-currency support, the firm can </w:t>
      </w:r>
      <w:r w:rsidR="722FBE3D" w:rsidRPr="6EDB71CF">
        <w:rPr>
          <w:rFonts w:eastAsia="Arial"/>
        </w:rPr>
        <w:t xml:space="preserve">directly process </w:t>
      </w:r>
      <w:r w:rsidR="47E6B195" w:rsidRPr="6EDB71CF">
        <w:rPr>
          <w:rFonts w:eastAsia="Arial"/>
        </w:rPr>
        <w:t>payments in each supplier’s currency</w:t>
      </w:r>
      <w:r w:rsidR="60CA6DB4" w:rsidRPr="6EDB71CF">
        <w:rPr>
          <w:rFonts w:eastAsia="Arial"/>
        </w:rPr>
        <w:t xml:space="preserve"> and apply an on-hand valuation of items in the currency </w:t>
      </w:r>
      <w:r w:rsidR="101C90C9" w:rsidRPr="6EDB71CF">
        <w:rPr>
          <w:rFonts w:eastAsia="Arial"/>
        </w:rPr>
        <w:t>of the receiv</w:t>
      </w:r>
      <w:r w:rsidR="4B6928C5" w:rsidRPr="6EDB71CF">
        <w:rPr>
          <w:rFonts w:eastAsia="Arial"/>
        </w:rPr>
        <w:t>ing</w:t>
      </w:r>
      <w:r w:rsidR="101C90C9" w:rsidRPr="6EDB71CF">
        <w:rPr>
          <w:rFonts w:eastAsia="Arial"/>
        </w:rPr>
        <w:t xml:space="preserve"> </w:t>
      </w:r>
      <w:r w:rsidR="4A9AA8C8" w:rsidRPr="6EDB71CF">
        <w:rPr>
          <w:rFonts w:eastAsia="Arial"/>
        </w:rPr>
        <w:t>location</w:t>
      </w:r>
      <w:r w:rsidR="47E6B195" w:rsidRPr="6EDB71CF">
        <w:rPr>
          <w:rFonts w:eastAsia="Arial"/>
        </w:rPr>
        <w:t xml:space="preserve">. This </w:t>
      </w:r>
      <w:r w:rsidR="546CDD10" w:rsidRPr="6EDB71CF">
        <w:rPr>
          <w:rFonts w:eastAsia="Arial"/>
        </w:rPr>
        <w:t xml:space="preserve">simplifies </w:t>
      </w:r>
      <w:r w:rsidR="47E6B195" w:rsidRPr="6EDB71CF">
        <w:rPr>
          <w:rFonts w:eastAsia="Arial"/>
        </w:rPr>
        <w:t>the payment process</w:t>
      </w:r>
      <w:r w:rsidR="4FCAB9C6" w:rsidRPr="6EDB71CF">
        <w:rPr>
          <w:rFonts w:eastAsia="Arial"/>
        </w:rPr>
        <w:t xml:space="preserve">, enhances financial clarity, and minimizes the impact of exchange rate fluctuations on costs. </w:t>
      </w:r>
    </w:p>
    <w:p w14:paraId="757241DF" w14:textId="367091F1" w:rsidR="00352568" w:rsidRPr="0086027C" w:rsidRDefault="23A92668" w:rsidP="6EDB71CF">
      <w:pPr>
        <w:pStyle w:val="Heading2"/>
        <w:rPr>
          <w:rFonts w:ascii="Arial" w:eastAsia="Arial" w:hAnsi="Arial" w:cs="Arial"/>
          <w:sz w:val="32"/>
          <w:szCs w:val="32"/>
        </w:rPr>
      </w:pPr>
      <w:bookmarkStart w:id="0" w:name="_Int_H4DPMexX"/>
      <w:r w:rsidRPr="6EDB71CF">
        <w:rPr>
          <w:rFonts w:ascii="Arial" w:eastAsia="Arial" w:hAnsi="Arial" w:cs="Arial"/>
          <w:sz w:val="32"/>
          <w:szCs w:val="32"/>
        </w:rPr>
        <w:t>What’s</w:t>
      </w:r>
      <w:bookmarkEnd w:id="0"/>
      <w:r w:rsidRPr="6EDB71CF">
        <w:rPr>
          <w:rFonts w:ascii="Arial" w:eastAsia="Arial" w:hAnsi="Arial" w:cs="Arial"/>
          <w:sz w:val="32"/>
          <w:szCs w:val="32"/>
        </w:rPr>
        <w:t xml:space="preserve"> </w:t>
      </w:r>
      <w:r w:rsidR="1C04C035" w:rsidRPr="6EDB71CF">
        <w:rPr>
          <w:rFonts w:ascii="Arial" w:eastAsia="Arial" w:hAnsi="Arial" w:cs="Arial"/>
          <w:sz w:val="32"/>
          <w:szCs w:val="32"/>
        </w:rPr>
        <w:t>n</w:t>
      </w:r>
      <w:r w:rsidR="4432CB32" w:rsidRPr="6EDB71CF">
        <w:rPr>
          <w:rFonts w:ascii="Arial" w:eastAsia="Arial" w:hAnsi="Arial" w:cs="Arial"/>
          <w:sz w:val="32"/>
          <w:szCs w:val="32"/>
        </w:rPr>
        <w:t>ew</w:t>
      </w:r>
      <w:r w:rsidR="649A496D" w:rsidRPr="6EDB71CF">
        <w:rPr>
          <w:rFonts w:ascii="Arial" w:eastAsia="Arial" w:hAnsi="Arial" w:cs="Arial"/>
          <w:sz w:val="32"/>
          <w:szCs w:val="32"/>
        </w:rPr>
        <w:t>?</w:t>
      </w:r>
    </w:p>
    <w:p w14:paraId="3BF1B7EC" w14:textId="1D8E0257" w:rsidR="009005AC" w:rsidRDefault="35BC22E1" w:rsidP="6EDB71CF">
      <w:pPr>
        <w:rPr>
          <w:rFonts w:eastAsia="Arial"/>
        </w:rPr>
      </w:pPr>
      <w:r w:rsidRPr="6EDB71CF">
        <w:rPr>
          <w:rFonts w:eastAsia="Arial"/>
        </w:rPr>
        <w:t>Key features</w:t>
      </w:r>
      <w:r w:rsidR="2DB89551" w:rsidRPr="6EDB71CF">
        <w:rPr>
          <w:rFonts w:eastAsia="Arial"/>
        </w:rPr>
        <w:t>:</w:t>
      </w:r>
    </w:p>
    <w:p w14:paraId="44E16BA2" w14:textId="77B6B5FC" w:rsidR="00505666" w:rsidRPr="00A60207" w:rsidRDefault="1DA09D2E" w:rsidP="6EDB71CF">
      <w:pPr>
        <w:pStyle w:val="ListParagraph"/>
        <w:numPr>
          <w:ilvl w:val="0"/>
          <w:numId w:val="8"/>
        </w:numPr>
        <w:rPr>
          <w:rFonts w:eastAsia="Arial"/>
          <w:b/>
          <w:bCs/>
        </w:rPr>
      </w:pPr>
      <w:r w:rsidRPr="6EDB71CF">
        <w:rPr>
          <w:rFonts w:eastAsia="Arial"/>
          <w:b/>
          <w:bCs/>
        </w:rPr>
        <w:t>Multiple currencies</w:t>
      </w:r>
      <w:r w:rsidR="2DB89551" w:rsidRPr="6EDB71CF">
        <w:rPr>
          <w:rFonts w:eastAsia="Arial"/>
        </w:rPr>
        <w:t>:</w:t>
      </w:r>
      <w:r w:rsidR="0917B7DA" w:rsidRPr="6EDB71CF">
        <w:rPr>
          <w:rFonts w:eastAsia="Arial"/>
          <w:b/>
          <w:bCs/>
        </w:rPr>
        <w:t xml:space="preserve"> </w:t>
      </w:r>
      <w:r w:rsidRPr="6EDB71CF">
        <w:rPr>
          <w:rFonts w:eastAsia="Arial"/>
        </w:rPr>
        <w:t xml:space="preserve">Manage </w:t>
      </w:r>
      <w:r w:rsidR="17D89719" w:rsidRPr="6EDB71CF">
        <w:rPr>
          <w:rFonts w:eastAsia="Arial"/>
        </w:rPr>
        <w:t xml:space="preserve">several </w:t>
      </w:r>
      <w:r w:rsidRPr="6EDB71CF">
        <w:rPr>
          <w:rFonts w:eastAsia="Arial"/>
        </w:rPr>
        <w:t>currencies with the ability to set a base currency and additional currencies, each linked to a defined exchange rate.</w:t>
      </w:r>
    </w:p>
    <w:p w14:paraId="62E3AC14" w14:textId="77777777" w:rsidR="00530DB7" w:rsidRPr="00530DB7" w:rsidRDefault="1DA09D2E" w:rsidP="6EDB71CF">
      <w:pPr>
        <w:pStyle w:val="ListParagraph"/>
        <w:numPr>
          <w:ilvl w:val="0"/>
          <w:numId w:val="8"/>
        </w:numPr>
        <w:rPr>
          <w:rFonts w:eastAsia="Arial"/>
          <w:b/>
          <w:bCs/>
        </w:rPr>
      </w:pPr>
      <w:r w:rsidRPr="6EDB71CF">
        <w:rPr>
          <w:rFonts w:eastAsia="Arial"/>
          <w:b/>
          <w:bCs/>
        </w:rPr>
        <w:t xml:space="preserve">Exchange </w:t>
      </w:r>
      <w:r w:rsidR="2E3853D5" w:rsidRPr="6EDB71CF">
        <w:rPr>
          <w:rFonts w:eastAsia="Arial"/>
          <w:b/>
          <w:bCs/>
        </w:rPr>
        <w:t>rate control</w:t>
      </w:r>
      <w:r w:rsidR="2DB89551" w:rsidRPr="6EDB71CF">
        <w:rPr>
          <w:rFonts w:eastAsia="Arial"/>
        </w:rPr>
        <w:t>:</w:t>
      </w:r>
      <w:r w:rsidR="2E3853D5" w:rsidRPr="6EDB71CF">
        <w:rPr>
          <w:rFonts w:eastAsia="Arial"/>
        </w:rPr>
        <w:t xml:space="preserve"> Maintain control over exchange rates with options to set and update rates as market conditions change. </w:t>
      </w:r>
    </w:p>
    <w:p w14:paraId="63666B1F" w14:textId="4F4100A4" w:rsidR="00A60207" w:rsidRPr="00315BAC" w:rsidRDefault="2E3853D5" w:rsidP="6EDB71CF">
      <w:pPr>
        <w:pStyle w:val="ListParagraph"/>
        <w:numPr>
          <w:ilvl w:val="0"/>
          <w:numId w:val="8"/>
        </w:numPr>
        <w:rPr>
          <w:rFonts w:eastAsia="Arial"/>
          <w:b/>
          <w:bCs/>
        </w:rPr>
      </w:pPr>
      <w:r w:rsidRPr="6EDB71CF">
        <w:rPr>
          <w:rFonts w:eastAsia="Arial"/>
          <w:b/>
          <w:bCs/>
        </w:rPr>
        <w:t xml:space="preserve">Historical </w:t>
      </w:r>
      <w:r w:rsidR="5A0A0258" w:rsidRPr="6EDB71CF">
        <w:rPr>
          <w:rFonts w:eastAsia="Arial"/>
          <w:b/>
          <w:bCs/>
        </w:rPr>
        <w:t>accuracy</w:t>
      </w:r>
      <w:r w:rsidR="5A0A0258" w:rsidRPr="6EDB71CF">
        <w:rPr>
          <w:rFonts w:eastAsia="Arial"/>
        </w:rPr>
        <w:t xml:space="preserve">: </w:t>
      </w:r>
      <w:r w:rsidR="3EC8C6EA" w:rsidRPr="6EDB71CF">
        <w:rPr>
          <w:rFonts w:eastAsia="Arial"/>
        </w:rPr>
        <w:t>Ensure financial accuracy by locking exchange rates at the time of transaction entries, preserving historical data integrity.</w:t>
      </w:r>
      <w:r w:rsidR="11324C7F" w:rsidRPr="6EDB71CF">
        <w:rPr>
          <w:rFonts w:eastAsia="Arial"/>
        </w:rPr>
        <w:t xml:space="preserve"> </w:t>
      </w:r>
    </w:p>
    <w:p w14:paraId="73B3D28F" w14:textId="391ACE37" w:rsidR="000757EA" w:rsidRPr="00AF3073" w:rsidRDefault="3EC8C6EA" w:rsidP="6EDB71CF">
      <w:pPr>
        <w:pStyle w:val="ListParagraph"/>
        <w:numPr>
          <w:ilvl w:val="0"/>
          <w:numId w:val="8"/>
        </w:numPr>
        <w:rPr>
          <w:rFonts w:eastAsia="Arial"/>
          <w:b/>
          <w:bCs/>
        </w:rPr>
      </w:pPr>
      <w:r w:rsidRPr="6EDB71CF">
        <w:rPr>
          <w:rFonts w:eastAsia="Arial"/>
          <w:b/>
          <w:bCs/>
        </w:rPr>
        <w:t xml:space="preserve">Vendor-Specific </w:t>
      </w:r>
      <w:r w:rsidR="531EE016" w:rsidRPr="6EDB71CF">
        <w:rPr>
          <w:rFonts w:eastAsia="Arial"/>
          <w:b/>
          <w:bCs/>
        </w:rPr>
        <w:t>settings</w:t>
      </w:r>
      <w:r w:rsidR="531EE016" w:rsidRPr="6EDB71CF">
        <w:rPr>
          <w:rFonts w:eastAsia="Arial"/>
        </w:rPr>
        <w:t xml:space="preserve">: Automate currency selection on transactions based on vendor-specific default currencies. </w:t>
      </w:r>
    </w:p>
    <w:p w14:paraId="1B5FAB1A" w14:textId="38DE1A4F" w:rsidR="003B3382" w:rsidRPr="0086027C" w:rsidRDefault="57BAD600" w:rsidP="6EDB71CF">
      <w:pPr>
        <w:pStyle w:val="Heading2"/>
        <w:rPr>
          <w:rFonts w:ascii="Arial" w:eastAsia="Arial" w:hAnsi="Arial" w:cs="Arial"/>
          <w:sz w:val="32"/>
          <w:szCs w:val="32"/>
        </w:rPr>
      </w:pPr>
      <w:r w:rsidRPr="6EDB71CF">
        <w:rPr>
          <w:rFonts w:ascii="Arial" w:eastAsia="Arial" w:hAnsi="Arial" w:cs="Arial"/>
          <w:sz w:val="32"/>
          <w:szCs w:val="32"/>
        </w:rPr>
        <w:lastRenderedPageBreak/>
        <w:t>How it works</w:t>
      </w:r>
      <w:r w:rsidR="4432CB32" w:rsidRPr="6EDB71CF">
        <w:rPr>
          <w:rFonts w:ascii="Arial" w:eastAsia="Arial" w:hAnsi="Arial" w:cs="Arial"/>
          <w:sz w:val="32"/>
          <w:szCs w:val="32"/>
        </w:rPr>
        <w:t>:</w:t>
      </w:r>
    </w:p>
    <w:p w14:paraId="2990E31D" w14:textId="4652BB79" w:rsidR="00F97D95" w:rsidRDefault="0FDF440E" w:rsidP="6EDB71CF">
      <w:pPr>
        <w:rPr>
          <w:rFonts w:eastAsia="Arial"/>
        </w:rPr>
      </w:pPr>
      <w:r w:rsidRPr="6EDB71CF">
        <w:rPr>
          <w:rFonts w:eastAsia="Arial"/>
        </w:rPr>
        <w:t>Open our application and start managing transactions across v</w:t>
      </w:r>
      <w:r w:rsidR="5511FD66" w:rsidRPr="6EDB71CF">
        <w:rPr>
          <w:rFonts w:eastAsia="Arial"/>
        </w:rPr>
        <w:t xml:space="preserve">arious currencies. </w:t>
      </w:r>
    </w:p>
    <w:p w14:paraId="0BF18E94" w14:textId="1BCFEBFB" w:rsidR="02DC0AA5" w:rsidRDefault="02DC0AA5" w:rsidP="6EDB71CF">
      <w:pPr>
        <w:rPr>
          <w:rFonts w:eastAsia="Arial"/>
          <w:b/>
          <w:bCs/>
        </w:rPr>
      </w:pPr>
      <w:r w:rsidRPr="1CA6DF60">
        <w:rPr>
          <w:rFonts w:eastAsia="Arial"/>
          <w:b/>
          <w:bCs/>
        </w:rPr>
        <w:t xml:space="preserve">Navigate to the </w:t>
      </w:r>
      <w:r w:rsidR="2958D429" w:rsidRPr="1CA6DF60">
        <w:rPr>
          <w:rFonts w:eastAsia="Arial"/>
          <w:b/>
          <w:bCs/>
        </w:rPr>
        <w:t>f</w:t>
      </w:r>
      <w:r w:rsidRPr="1CA6DF60">
        <w:rPr>
          <w:rFonts w:eastAsia="Arial"/>
          <w:b/>
          <w:bCs/>
        </w:rPr>
        <w:t>eature:</w:t>
      </w:r>
    </w:p>
    <w:p w14:paraId="3FA176C7" w14:textId="298AA4A2" w:rsidR="00D25190" w:rsidRPr="00F97D95" w:rsidRDefault="0C9D5F86" w:rsidP="6EDB71CF">
      <w:pPr>
        <w:pStyle w:val="ListParagraph"/>
        <w:numPr>
          <w:ilvl w:val="0"/>
          <w:numId w:val="4"/>
        </w:numPr>
        <w:rPr>
          <w:rFonts w:eastAsia="Arial"/>
        </w:rPr>
      </w:pPr>
      <w:r w:rsidRPr="6EDB71CF">
        <w:rPr>
          <w:rFonts w:eastAsia="Arial"/>
        </w:rPr>
        <w:t xml:space="preserve">To access the new feature, </w:t>
      </w:r>
      <w:r w:rsidR="5361D60A" w:rsidRPr="6EDB71CF">
        <w:rPr>
          <w:rFonts w:eastAsia="Arial"/>
        </w:rPr>
        <w:t xml:space="preserve">go </w:t>
      </w:r>
      <w:r w:rsidR="21B878B0" w:rsidRPr="6EDB71CF">
        <w:rPr>
          <w:rFonts w:eastAsia="Arial"/>
        </w:rPr>
        <w:t xml:space="preserve">to </w:t>
      </w:r>
      <w:r w:rsidR="21B878B0" w:rsidRPr="6EDB71CF">
        <w:rPr>
          <w:rFonts w:eastAsia="Arial"/>
          <w:b/>
          <w:bCs/>
        </w:rPr>
        <w:t xml:space="preserve">Configuration Mode </w:t>
      </w:r>
      <w:r w:rsidR="21B878B0" w:rsidRPr="6EDB71CF">
        <w:rPr>
          <w:rFonts w:eastAsia="Arial"/>
        </w:rPr>
        <w:t xml:space="preserve">&gt; </w:t>
      </w:r>
      <w:r w:rsidR="21B878B0" w:rsidRPr="6EDB71CF">
        <w:rPr>
          <w:rFonts w:eastAsia="Arial"/>
          <w:b/>
          <w:bCs/>
        </w:rPr>
        <w:t xml:space="preserve">Materials Management </w:t>
      </w:r>
      <w:r w:rsidR="21B878B0" w:rsidRPr="6EDB71CF">
        <w:rPr>
          <w:rFonts w:eastAsia="Arial"/>
        </w:rPr>
        <w:t xml:space="preserve">&gt; </w:t>
      </w:r>
      <w:r w:rsidR="21B878B0" w:rsidRPr="6EDB71CF">
        <w:rPr>
          <w:rFonts w:eastAsia="Arial"/>
          <w:b/>
          <w:bCs/>
        </w:rPr>
        <w:t>Currencies</w:t>
      </w:r>
      <w:r w:rsidR="21B878B0" w:rsidRPr="6EDB71CF">
        <w:rPr>
          <w:rFonts w:eastAsia="Arial"/>
        </w:rPr>
        <w:t>.</w:t>
      </w:r>
    </w:p>
    <w:p w14:paraId="446EAFA7" w14:textId="284AD55F" w:rsidR="000A6EC0" w:rsidRDefault="0652B76C" w:rsidP="6EDB71CF">
      <w:pPr>
        <w:rPr>
          <w:rFonts w:eastAsia="Arial"/>
        </w:rPr>
      </w:pPr>
      <w:r>
        <w:rPr>
          <w:noProof/>
        </w:rPr>
        <w:drawing>
          <wp:inline distT="0" distB="0" distL="0" distR="0" wp14:anchorId="11A716DF" wp14:editId="4AE9B103">
            <wp:extent cx="5943600" cy="1116330"/>
            <wp:effectExtent l="0" t="0" r="0" b="7620"/>
            <wp:docPr id="72755524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004C88" w14:textId="55CC1399" w:rsidR="7DFF4824" w:rsidRDefault="7DFF4824" w:rsidP="6EDB71CF">
      <w:pPr>
        <w:rPr>
          <w:rFonts w:eastAsia="Arial"/>
        </w:rPr>
      </w:pPr>
      <w:r w:rsidRPr="6EDB71CF">
        <w:rPr>
          <w:rFonts w:eastAsia="Arial"/>
          <w:b/>
          <w:bCs/>
        </w:rPr>
        <w:t>Add and manage currencies:</w:t>
      </w:r>
    </w:p>
    <w:p w14:paraId="3741A9E3" w14:textId="65E6664B" w:rsidR="00C072AD" w:rsidRDefault="7DFF4824" w:rsidP="6EDB71CF">
      <w:pPr>
        <w:pStyle w:val="ListParagraph"/>
        <w:numPr>
          <w:ilvl w:val="0"/>
          <w:numId w:val="3"/>
        </w:numPr>
        <w:rPr>
          <w:rFonts w:eastAsia="Arial"/>
        </w:rPr>
      </w:pPr>
      <w:r w:rsidRPr="6EDB71CF">
        <w:rPr>
          <w:rFonts w:eastAsia="Arial"/>
          <w:b/>
          <w:bCs/>
        </w:rPr>
        <w:t xml:space="preserve">Add a currency: </w:t>
      </w:r>
      <w:r w:rsidRPr="6EDB71CF">
        <w:rPr>
          <w:rFonts w:eastAsia="Arial"/>
        </w:rPr>
        <w:t>Cl</w:t>
      </w:r>
      <w:r w:rsidR="0652B76C" w:rsidRPr="6EDB71CF">
        <w:rPr>
          <w:rFonts w:eastAsia="Arial"/>
        </w:rPr>
        <w:t xml:space="preserve">ick </w:t>
      </w:r>
      <w:r w:rsidR="0652B76C" w:rsidRPr="6EDB71CF">
        <w:rPr>
          <w:rFonts w:eastAsia="Arial"/>
          <w:b/>
          <w:bCs/>
        </w:rPr>
        <w:t>Add</w:t>
      </w:r>
      <w:r w:rsidR="502410B4" w:rsidRPr="6EDB71CF">
        <w:rPr>
          <w:rFonts w:eastAsia="Arial"/>
          <w:b/>
          <w:bCs/>
        </w:rPr>
        <w:t xml:space="preserve"> </w:t>
      </w:r>
      <w:r w:rsidR="7D6F0F8D" w:rsidRPr="6EDB71CF">
        <w:rPr>
          <w:rFonts w:eastAsia="Arial"/>
        </w:rPr>
        <w:t>to include a new currency to your system. S</w:t>
      </w:r>
      <w:r w:rsidR="6E0B9B48" w:rsidRPr="6EDB71CF">
        <w:rPr>
          <w:rFonts w:eastAsia="Arial"/>
        </w:rPr>
        <w:t>elect</w:t>
      </w:r>
      <w:r w:rsidR="5CE4F6EA" w:rsidRPr="6EDB71CF">
        <w:rPr>
          <w:rFonts w:eastAsia="Arial"/>
        </w:rPr>
        <w:t xml:space="preserve"> from a comprehensive list of global currencies as needed for your operations</w:t>
      </w:r>
      <w:r w:rsidR="10F02B2C" w:rsidRPr="6EDB71CF">
        <w:rPr>
          <w:rFonts w:eastAsia="Arial"/>
        </w:rPr>
        <w:t>.</w:t>
      </w:r>
    </w:p>
    <w:p w14:paraId="1D016308" w14:textId="0EA1DD50" w:rsidR="000B6B64" w:rsidRDefault="7E09B127" w:rsidP="6EDB71CF">
      <w:pPr>
        <w:pStyle w:val="ListParagraph"/>
        <w:numPr>
          <w:ilvl w:val="0"/>
          <w:numId w:val="3"/>
        </w:numPr>
        <w:rPr>
          <w:rFonts w:eastAsia="Arial"/>
        </w:rPr>
      </w:pPr>
      <w:r w:rsidRPr="6EDB71CF">
        <w:rPr>
          <w:rFonts w:eastAsia="Arial"/>
          <w:b/>
          <w:bCs/>
        </w:rPr>
        <w:t xml:space="preserve">Set exchange rates: </w:t>
      </w:r>
      <w:r w:rsidRPr="6EDB71CF">
        <w:rPr>
          <w:rFonts w:eastAsia="Arial"/>
        </w:rPr>
        <w:t>Specify the exchange rate in relation to your base currency</w:t>
      </w:r>
      <w:r w:rsidR="348D49FB" w:rsidRPr="6EDB71CF">
        <w:rPr>
          <w:rFonts w:eastAsia="Arial"/>
        </w:rPr>
        <w:t xml:space="preserve">. </w:t>
      </w:r>
      <w:r w:rsidR="57F8D760" w:rsidRPr="6EDB71CF">
        <w:rPr>
          <w:rFonts w:eastAsia="Arial"/>
        </w:rPr>
        <w:t>The s</w:t>
      </w:r>
      <w:r w:rsidR="348D49FB" w:rsidRPr="6EDB71CF">
        <w:rPr>
          <w:rFonts w:eastAsia="Arial"/>
        </w:rPr>
        <w:t>etup for managing exchange rates is covered below in the Setup and Configuration</w:t>
      </w:r>
      <w:r w:rsidR="348D49FB" w:rsidRPr="6EDB71CF">
        <w:rPr>
          <w:rFonts w:eastAsia="Arial"/>
          <w:b/>
          <w:bCs/>
        </w:rPr>
        <w:t xml:space="preserve"> </w:t>
      </w:r>
      <w:r w:rsidR="348D49FB" w:rsidRPr="6EDB71CF">
        <w:rPr>
          <w:rFonts w:eastAsia="Arial"/>
        </w:rPr>
        <w:t xml:space="preserve">section. </w:t>
      </w:r>
    </w:p>
    <w:p w14:paraId="03E32F3F" w14:textId="04A28E9C" w:rsidR="00BE455D" w:rsidRDefault="71A80BF3" w:rsidP="6EDB71CF">
      <w:pPr>
        <w:rPr>
          <w:rFonts w:eastAsia="Arial"/>
        </w:rPr>
      </w:pPr>
      <w:r>
        <w:rPr>
          <w:noProof/>
        </w:rPr>
        <w:drawing>
          <wp:inline distT="0" distB="0" distL="0" distR="0" wp14:anchorId="702A5790" wp14:editId="00198467">
            <wp:extent cx="5191643" cy="3450444"/>
            <wp:effectExtent l="0" t="0" r="0" b="0"/>
            <wp:docPr id="2071327742" name="Picture 2071327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132774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1643" cy="3450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C62FD7" w14:textId="77B61EC6" w:rsidR="4BF111EE" w:rsidRDefault="4BF111EE" w:rsidP="6EDB71CF">
      <w:pPr>
        <w:rPr>
          <w:rFonts w:eastAsia="Arial"/>
        </w:rPr>
      </w:pPr>
    </w:p>
    <w:p w14:paraId="000C5AFA" w14:textId="7DD20344" w:rsidR="6EDB71CF" w:rsidRDefault="6EDB71CF" w:rsidP="6EDB71CF">
      <w:pPr>
        <w:rPr>
          <w:rFonts w:eastAsia="Arial"/>
        </w:rPr>
      </w:pPr>
    </w:p>
    <w:p w14:paraId="410BF8C3" w14:textId="77777777" w:rsidR="00B9139C" w:rsidRDefault="00B9139C" w:rsidP="6EDB71CF">
      <w:pPr>
        <w:rPr>
          <w:rFonts w:eastAsia="Arial"/>
        </w:rPr>
      </w:pPr>
    </w:p>
    <w:p w14:paraId="3557CE6B" w14:textId="39C88EA5" w:rsidR="0CA0CD62" w:rsidRDefault="0CA0CD62" w:rsidP="6EDB71CF">
      <w:pPr>
        <w:rPr>
          <w:rFonts w:eastAsia="Arial"/>
        </w:rPr>
      </w:pPr>
      <w:r w:rsidRPr="6EDB71CF">
        <w:rPr>
          <w:rFonts w:eastAsia="Arial"/>
          <w:b/>
          <w:bCs/>
        </w:rPr>
        <w:lastRenderedPageBreak/>
        <w:t>Vendor-specific settings:</w:t>
      </w:r>
    </w:p>
    <w:p w14:paraId="229942F9" w14:textId="598836A0" w:rsidR="007B6D53" w:rsidRPr="001C55B8" w:rsidRDefault="7EBDD3CB" w:rsidP="6EDB71CF">
      <w:pPr>
        <w:pStyle w:val="ListParagraph"/>
        <w:numPr>
          <w:ilvl w:val="0"/>
          <w:numId w:val="11"/>
        </w:numPr>
        <w:rPr>
          <w:rFonts w:eastAsia="Arial"/>
        </w:rPr>
      </w:pPr>
      <w:r w:rsidRPr="6EDB71CF">
        <w:rPr>
          <w:rFonts w:eastAsia="Arial"/>
        </w:rPr>
        <w:t>If you n</w:t>
      </w:r>
      <w:r w:rsidR="1C42A032" w:rsidRPr="6EDB71CF">
        <w:rPr>
          <w:rFonts w:eastAsia="Arial"/>
        </w:rPr>
        <w:t>avigate to a vendor’s record</w:t>
      </w:r>
      <w:r w:rsidR="0BD047BD" w:rsidRPr="6EDB71CF">
        <w:rPr>
          <w:rFonts w:eastAsia="Arial"/>
        </w:rPr>
        <w:t>, you can</w:t>
      </w:r>
      <w:r w:rsidR="1C42A032" w:rsidRPr="6EDB71CF">
        <w:rPr>
          <w:rFonts w:eastAsia="Arial"/>
        </w:rPr>
        <w:t xml:space="preserve"> set the d</w:t>
      </w:r>
      <w:r w:rsidR="0E0B4B5B" w:rsidRPr="6EDB71CF">
        <w:rPr>
          <w:rFonts w:eastAsia="Arial"/>
        </w:rPr>
        <w:t>efault currency</w:t>
      </w:r>
      <w:r w:rsidR="72D70E55" w:rsidRPr="6EDB71CF">
        <w:rPr>
          <w:rFonts w:eastAsia="Arial"/>
        </w:rPr>
        <w:t xml:space="preserve"> for all transactions with that vender. </w:t>
      </w:r>
      <w:r w:rsidR="0990F199" w:rsidRPr="6EDB71CF">
        <w:rPr>
          <w:rFonts w:eastAsia="Arial"/>
        </w:rPr>
        <w:t xml:space="preserve">This ensures consistency and accuracy in financial dealing, streamlining financial processes. </w:t>
      </w:r>
    </w:p>
    <w:p w14:paraId="66460185" w14:textId="3D7FDF31" w:rsidR="004B2808" w:rsidRDefault="569FE4F8" w:rsidP="6EDB71CF">
      <w:pPr>
        <w:rPr>
          <w:rFonts w:eastAsia="Arial"/>
        </w:rPr>
      </w:pPr>
      <w:r>
        <w:rPr>
          <w:noProof/>
        </w:rPr>
        <w:drawing>
          <wp:inline distT="0" distB="0" distL="0" distR="0" wp14:anchorId="50976255" wp14:editId="21D37304">
            <wp:extent cx="5943600" cy="2580640"/>
            <wp:effectExtent l="0" t="0" r="0" b="0"/>
            <wp:docPr id="180836319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8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77783" w14:textId="28A74B4C" w:rsidR="004B2808" w:rsidRDefault="6E55472C" w:rsidP="6EDB71CF">
      <w:pPr>
        <w:pStyle w:val="Heading2"/>
        <w:rPr>
          <w:rFonts w:ascii="Arial" w:eastAsia="Arial" w:hAnsi="Arial" w:cs="Arial"/>
          <w:sz w:val="32"/>
          <w:szCs w:val="32"/>
        </w:rPr>
      </w:pPr>
      <w:r w:rsidRPr="6EDB71CF">
        <w:rPr>
          <w:rFonts w:ascii="Arial" w:eastAsia="Arial" w:hAnsi="Arial" w:cs="Arial"/>
          <w:sz w:val="32"/>
          <w:szCs w:val="32"/>
        </w:rPr>
        <w:t>Setup and configuration:</w:t>
      </w:r>
    </w:p>
    <w:p w14:paraId="0DCBA933" w14:textId="2507263D" w:rsidR="004B2808" w:rsidRDefault="55EECEFC" w:rsidP="6EDB71CF">
      <w:pPr>
        <w:rPr>
          <w:rFonts w:eastAsia="Arial"/>
        </w:rPr>
      </w:pPr>
      <w:r w:rsidRPr="6EDB71CF">
        <w:rPr>
          <w:rFonts w:eastAsia="Arial"/>
        </w:rPr>
        <w:t xml:space="preserve">Ready to optimize your financial operations? </w:t>
      </w:r>
      <w:r w:rsidR="61343F12" w:rsidRPr="6EDB71CF">
        <w:rPr>
          <w:rFonts w:eastAsia="Arial"/>
        </w:rPr>
        <w:t>To ensure you get the most out of this feature, we invite you to c</w:t>
      </w:r>
      <w:r w:rsidRPr="6EDB71CF">
        <w:rPr>
          <w:rFonts w:eastAsia="Arial"/>
        </w:rPr>
        <w:t xml:space="preserve">onnect with us to explore how exchange rates are updated within our system. </w:t>
      </w:r>
      <w:r w:rsidR="316B83DE" w:rsidRPr="6EDB71CF">
        <w:rPr>
          <w:rFonts w:eastAsia="Arial"/>
        </w:rPr>
        <w:t>Available options include:</w:t>
      </w:r>
    </w:p>
    <w:p w14:paraId="7ABA000A" w14:textId="43CC5FF6" w:rsidR="004B2808" w:rsidRDefault="0DE1E50E" w:rsidP="6EDB71CF">
      <w:pPr>
        <w:pStyle w:val="ListParagraph"/>
        <w:numPr>
          <w:ilvl w:val="0"/>
          <w:numId w:val="1"/>
        </w:numPr>
        <w:rPr>
          <w:rFonts w:eastAsia="Arial"/>
          <w:b/>
          <w:bCs/>
        </w:rPr>
      </w:pPr>
      <w:r w:rsidRPr="6EDB71CF">
        <w:rPr>
          <w:rFonts w:eastAsia="Arial"/>
          <w:b/>
          <w:bCs/>
        </w:rPr>
        <w:t xml:space="preserve">Manual </w:t>
      </w:r>
      <w:r w:rsidR="0B365EDB" w:rsidRPr="6EDB71CF">
        <w:rPr>
          <w:rFonts w:eastAsia="Arial"/>
          <w:b/>
          <w:bCs/>
        </w:rPr>
        <w:t>u</w:t>
      </w:r>
      <w:r w:rsidRPr="6EDB71CF">
        <w:rPr>
          <w:rFonts w:eastAsia="Arial"/>
          <w:b/>
          <w:bCs/>
        </w:rPr>
        <w:t>pdates</w:t>
      </w:r>
      <w:r w:rsidR="5BE03507" w:rsidRPr="6EDB71CF">
        <w:rPr>
          <w:rFonts w:eastAsia="Arial"/>
          <w:b/>
          <w:bCs/>
        </w:rPr>
        <w:t xml:space="preserve"> </w:t>
      </w:r>
      <w:r w:rsidR="5BE03507" w:rsidRPr="6EDB71CF">
        <w:rPr>
          <w:rFonts w:eastAsia="Arial"/>
        </w:rPr>
        <w:t>for hands</w:t>
      </w:r>
      <w:r w:rsidR="6F454B5C" w:rsidRPr="6EDB71CF">
        <w:rPr>
          <w:rFonts w:eastAsia="Arial"/>
        </w:rPr>
        <w:t>-</w:t>
      </w:r>
      <w:r w:rsidR="5BE03507" w:rsidRPr="6EDB71CF">
        <w:rPr>
          <w:rFonts w:eastAsia="Arial"/>
        </w:rPr>
        <w:t>on control.</w:t>
      </w:r>
    </w:p>
    <w:p w14:paraId="1A4A92EB" w14:textId="45CA8A0C" w:rsidR="004B2808" w:rsidRDefault="0DE1E50E" w:rsidP="6EDB71CF">
      <w:pPr>
        <w:pStyle w:val="ListParagraph"/>
        <w:numPr>
          <w:ilvl w:val="0"/>
          <w:numId w:val="1"/>
        </w:numPr>
        <w:rPr>
          <w:rFonts w:eastAsia="Arial"/>
          <w:b/>
          <w:bCs/>
        </w:rPr>
      </w:pPr>
      <w:r w:rsidRPr="6EDB71CF">
        <w:rPr>
          <w:rFonts w:eastAsia="Arial"/>
          <w:b/>
          <w:bCs/>
        </w:rPr>
        <w:t>API integration</w:t>
      </w:r>
      <w:r w:rsidR="45472BA2" w:rsidRPr="6EDB71CF">
        <w:rPr>
          <w:rFonts w:eastAsia="Arial"/>
          <w:b/>
          <w:bCs/>
        </w:rPr>
        <w:t xml:space="preserve"> </w:t>
      </w:r>
      <w:r w:rsidR="45472BA2" w:rsidRPr="6EDB71CF">
        <w:rPr>
          <w:rFonts w:eastAsia="Arial"/>
        </w:rPr>
        <w:t xml:space="preserve">to automate updates and ensure seamless data flow. </w:t>
      </w:r>
    </w:p>
    <w:p w14:paraId="63B0DEDF" w14:textId="2B4F3FA8" w:rsidR="004B2808" w:rsidRDefault="45472BA2" w:rsidP="6EDB71CF">
      <w:pPr>
        <w:pStyle w:val="ListParagraph"/>
        <w:numPr>
          <w:ilvl w:val="0"/>
          <w:numId w:val="1"/>
        </w:numPr>
        <w:rPr>
          <w:rFonts w:eastAsia="Arial"/>
        </w:rPr>
      </w:pPr>
      <w:r w:rsidRPr="6EDB71CF">
        <w:rPr>
          <w:rFonts w:eastAsia="Arial"/>
          <w:b/>
          <w:bCs/>
        </w:rPr>
        <w:t>Integration with your existing financial services</w:t>
      </w:r>
      <w:r w:rsidR="64AD9331" w:rsidRPr="6EDB71CF">
        <w:rPr>
          <w:rFonts w:eastAsia="Arial"/>
          <w:b/>
          <w:bCs/>
        </w:rPr>
        <w:t xml:space="preserve"> or databases</w:t>
      </w:r>
      <w:r w:rsidR="2E128DAD" w:rsidRPr="6EDB71CF">
        <w:rPr>
          <w:rFonts w:eastAsia="Arial"/>
          <w:b/>
          <w:bCs/>
        </w:rPr>
        <w:t xml:space="preserve"> </w:t>
      </w:r>
      <w:r w:rsidR="2E128DAD" w:rsidRPr="6EDB71CF">
        <w:rPr>
          <w:rFonts w:eastAsia="Arial"/>
        </w:rPr>
        <w:t>for</w:t>
      </w:r>
      <w:r w:rsidRPr="6EDB71CF">
        <w:rPr>
          <w:rFonts w:eastAsia="Arial"/>
        </w:rPr>
        <w:t xml:space="preserve"> consisten</w:t>
      </w:r>
      <w:r w:rsidR="619382CA" w:rsidRPr="6EDB71CF">
        <w:rPr>
          <w:rFonts w:eastAsia="Arial"/>
        </w:rPr>
        <w:t xml:space="preserve">t </w:t>
      </w:r>
      <w:r w:rsidR="54329DD8" w:rsidRPr="6EDB71CF">
        <w:rPr>
          <w:rFonts w:eastAsia="Arial"/>
        </w:rPr>
        <w:t>fiscal management</w:t>
      </w:r>
      <w:r w:rsidR="619382CA" w:rsidRPr="6EDB71CF">
        <w:rPr>
          <w:rFonts w:eastAsia="Arial"/>
        </w:rPr>
        <w:t xml:space="preserve"> across</w:t>
      </w:r>
      <w:r w:rsidRPr="6EDB71CF">
        <w:rPr>
          <w:rFonts w:eastAsia="Arial"/>
        </w:rPr>
        <w:t xml:space="preserve"> all platforms.</w:t>
      </w:r>
    </w:p>
    <w:p w14:paraId="5C3B0F69" w14:textId="12C19C5B" w:rsidR="004B2808" w:rsidRDefault="0DE1E50E" w:rsidP="6EDB71CF">
      <w:pPr>
        <w:rPr>
          <w:rFonts w:eastAsia="Arial"/>
        </w:rPr>
      </w:pPr>
      <w:r w:rsidRPr="6EDB71CF">
        <w:rPr>
          <w:rFonts w:eastAsia="Arial"/>
        </w:rPr>
        <w:t>And more!</w:t>
      </w:r>
    </w:p>
    <w:p w14:paraId="17D89664" w14:textId="773B7D1C" w:rsidR="004B2808" w:rsidRDefault="0DE1E50E" w:rsidP="6EDB71CF">
      <w:pPr>
        <w:rPr>
          <w:rFonts w:eastAsia="Arial"/>
          <w:color w:val="0D0D0D" w:themeColor="text1" w:themeTint="F2"/>
        </w:rPr>
      </w:pPr>
      <w:r w:rsidRPr="6EDB71CF">
        <w:rPr>
          <w:rFonts w:eastAsia="Arial"/>
          <w:color w:val="0D0D0D" w:themeColor="text1" w:themeTint="F2"/>
        </w:rPr>
        <w:t xml:space="preserve">To </w:t>
      </w:r>
      <w:r w:rsidR="020A00F7" w:rsidRPr="6EDB71CF">
        <w:rPr>
          <w:rFonts w:eastAsia="Arial"/>
          <w:color w:val="0D0D0D" w:themeColor="text1" w:themeTint="F2"/>
        </w:rPr>
        <w:t xml:space="preserve">explore these possibilities and activate the feature according to </w:t>
      </w:r>
      <w:r w:rsidRPr="6EDB71CF">
        <w:rPr>
          <w:rFonts w:eastAsia="Arial"/>
          <w:color w:val="0D0D0D" w:themeColor="text1" w:themeTint="F2"/>
        </w:rPr>
        <w:t>y</w:t>
      </w:r>
      <w:r w:rsidR="346C3993" w:rsidRPr="6EDB71CF">
        <w:rPr>
          <w:rFonts w:eastAsia="Arial"/>
          <w:color w:val="0D0D0D" w:themeColor="text1" w:themeTint="F2"/>
        </w:rPr>
        <w:t>our requirements</w:t>
      </w:r>
      <w:r w:rsidR="711EA7BD" w:rsidRPr="6EDB71CF">
        <w:rPr>
          <w:rFonts w:eastAsia="Arial"/>
          <w:color w:val="0D0D0D" w:themeColor="text1" w:themeTint="F2"/>
        </w:rPr>
        <w:t>, please contact our support team</w:t>
      </w:r>
      <w:r w:rsidR="346C3993" w:rsidRPr="6EDB71CF">
        <w:rPr>
          <w:rFonts w:eastAsia="Arial"/>
          <w:color w:val="0D0D0D" w:themeColor="text1" w:themeTint="F2"/>
        </w:rPr>
        <w:t>. We are ready to assist you in activating and configuring the currency exchange rate functionality</w:t>
      </w:r>
      <w:r w:rsidR="3B3DC507" w:rsidRPr="6EDB71CF">
        <w:rPr>
          <w:rFonts w:eastAsia="Arial"/>
          <w:color w:val="0D0D0D" w:themeColor="text1" w:themeTint="F2"/>
        </w:rPr>
        <w:t xml:space="preserve"> to meet your needs</w:t>
      </w:r>
      <w:r w:rsidR="302AE07B" w:rsidRPr="6EDB71CF">
        <w:rPr>
          <w:rFonts w:eastAsia="Arial"/>
          <w:color w:val="0D0D0D" w:themeColor="text1" w:themeTint="F2"/>
        </w:rPr>
        <w:t>.</w:t>
      </w:r>
      <w:r w:rsidR="346C3993" w:rsidRPr="6EDB71CF">
        <w:rPr>
          <w:rFonts w:eastAsia="Arial"/>
          <w:color w:val="0D0D0D" w:themeColor="text1" w:themeTint="F2"/>
        </w:rPr>
        <w:t xml:space="preserve">  </w:t>
      </w:r>
    </w:p>
    <w:p w14:paraId="331B7797" w14:textId="722C71EE" w:rsidR="004B2808" w:rsidRDefault="004B2808" w:rsidP="6EDB71CF"/>
    <w:p w14:paraId="53450025" w14:textId="4B15CE1C" w:rsidR="004B2808" w:rsidRDefault="34FCEBC5" w:rsidP="6EDB71CF">
      <w:pPr>
        <w:pStyle w:val="Heading2"/>
        <w:rPr>
          <w:rFonts w:ascii="Arial" w:eastAsia="Arial" w:hAnsi="Arial" w:cs="Arial"/>
          <w:sz w:val="32"/>
          <w:szCs w:val="32"/>
        </w:rPr>
      </w:pPr>
      <w:r w:rsidRPr="6EDB71CF">
        <w:rPr>
          <w:rFonts w:ascii="Arial" w:eastAsia="Arial" w:hAnsi="Arial" w:cs="Arial"/>
          <w:sz w:val="32"/>
          <w:szCs w:val="32"/>
        </w:rPr>
        <w:t>Frequently Asked Questions (FAQs)</w:t>
      </w:r>
    </w:p>
    <w:p w14:paraId="6BFC9082" w14:textId="0946838C" w:rsidR="10B24772" w:rsidRDefault="10B24772" w:rsidP="6EDB71CF">
      <w:pPr>
        <w:pStyle w:val="ListParagraph"/>
        <w:numPr>
          <w:ilvl w:val="0"/>
          <w:numId w:val="12"/>
        </w:numPr>
        <w:rPr>
          <w:rFonts w:eastAsia="Arial"/>
        </w:rPr>
      </w:pPr>
      <w:r w:rsidRPr="6EDB71CF">
        <w:rPr>
          <w:rFonts w:eastAsia="Arial"/>
          <w:b/>
          <w:bCs/>
        </w:rPr>
        <w:t>How often should I update the exchange rates in the system?</w:t>
      </w:r>
      <w:r w:rsidRPr="6EDB71CF">
        <w:rPr>
          <w:rFonts w:eastAsia="Arial"/>
        </w:rPr>
        <w:t xml:space="preserve"> </w:t>
      </w:r>
    </w:p>
    <w:p w14:paraId="3267F6A2" w14:textId="0DAD77B4" w:rsidR="10B24772" w:rsidRDefault="10B24772" w:rsidP="6EDB71CF">
      <w:pPr>
        <w:pStyle w:val="ListParagraph"/>
        <w:numPr>
          <w:ilvl w:val="1"/>
          <w:numId w:val="12"/>
        </w:numPr>
        <w:tabs>
          <w:tab w:val="left" w:pos="0"/>
          <w:tab w:val="left" w:pos="720"/>
        </w:tabs>
        <w:spacing w:after="0"/>
        <w:rPr>
          <w:rFonts w:eastAsia="Arial"/>
        </w:rPr>
      </w:pPr>
      <w:r w:rsidRPr="6EDB71CF">
        <w:rPr>
          <w:rFonts w:eastAsia="Arial"/>
        </w:rPr>
        <w:t>While the frequency of updating exchange rates is flexible to accommodate different business needs, we recommend updating this information once a day</w:t>
      </w:r>
      <w:r w:rsidR="44B5F679" w:rsidRPr="6EDB71CF">
        <w:rPr>
          <w:rFonts w:eastAsia="Arial"/>
        </w:rPr>
        <w:t xml:space="preserve">. </w:t>
      </w:r>
    </w:p>
    <w:p w14:paraId="1131738F" w14:textId="72951393" w:rsidR="10B24772" w:rsidRDefault="10B24772" w:rsidP="6EDB71CF">
      <w:pPr>
        <w:pStyle w:val="ListParagraph"/>
        <w:numPr>
          <w:ilvl w:val="0"/>
          <w:numId w:val="12"/>
        </w:numPr>
        <w:spacing w:after="0"/>
        <w:rPr>
          <w:rFonts w:eastAsia="Arial"/>
        </w:rPr>
      </w:pPr>
      <w:r w:rsidRPr="6EDB71CF">
        <w:rPr>
          <w:rFonts w:eastAsia="Arial"/>
          <w:b/>
          <w:bCs/>
        </w:rPr>
        <w:t>Can I automate the update of currency exchange rates using an API?</w:t>
      </w:r>
      <w:r w:rsidRPr="6EDB71CF">
        <w:rPr>
          <w:rFonts w:eastAsia="Arial"/>
        </w:rPr>
        <w:t xml:space="preserve"> </w:t>
      </w:r>
    </w:p>
    <w:p w14:paraId="34263166" w14:textId="70062A1B" w:rsidR="10B24772" w:rsidRDefault="10B24772" w:rsidP="6EDB71CF">
      <w:pPr>
        <w:pStyle w:val="ListParagraph"/>
        <w:numPr>
          <w:ilvl w:val="1"/>
          <w:numId w:val="12"/>
        </w:numPr>
        <w:tabs>
          <w:tab w:val="left" w:pos="0"/>
          <w:tab w:val="left" w:pos="720"/>
        </w:tabs>
        <w:spacing w:after="0"/>
        <w:rPr>
          <w:rFonts w:eastAsia="Arial"/>
        </w:rPr>
      </w:pPr>
      <w:r w:rsidRPr="6EDB71CF">
        <w:rPr>
          <w:rFonts w:eastAsia="Arial"/>
        </w:rPr>
        <w:t>Yes, you can automate the update of currency exchange rates through our API. This feature allows you to integrate real-time financial data services or your preferred currency exchange rate provider to ensure your system always reflects the most current rates.</w:t>
      </w:r>
      <w:r w:rsidR="3107B70E" w:rsidRPr="6EDB71CF">
        <w:rPr>
          <w:rFonts w:eastAsia="Arial"/>
        </w:rPr>
        <w:t xml:space="preserve"> Contact our support team to </w:t>
      </w:r>
      <w:r w:rsidR="162357A6" w:rsidRPr="6EDB71CF">
        <w:rPr>
          <w:rFonts w:eastAsia="Arial"/>
        </w:rPr>
        <w:t>get started</w:t>
      </w:r>
      <w:r w:rsidR="3107B70E" w:rsidRPr="6EDB71CF">
        <w:rPr>
          <w:rFonts w:eastAsia="Arial"/>
        </w:rPr>
        <w:t>!</w:t>
      </w:r>
    </w:p>
    <w:p w14:paraId="05E8F80C" w14:textId="08602BB9" w:rsidR="35F82292" w:rsidRDefault="40B00CEC" w:rsidP="6EDB71CF">
      <w:pPr>
        <w:pStyle w:val="ListParagraph"/>
        <w:numPr>
          <w:ilvl w:val="0"/>
          <w:numId w:val="12"/>
        </w:numPr>
        <w:rPr>
          <w:rFonts w:eastAsia="Arial"/>
          <w:b/>
          <w:bCs/>
        </w:rPr>
      </w:pPr>
      <w:r w:rsidRPr="6EDB71CF">
        <w:rPr>
          <w:rFonts w:eastAsia="Arial"/>
          <w:b/>
          <w:bCs/>
        </w:rPr>
        <w:lastRenderedPageBreak/>
        <w:t>What if I do not update the exchange rate and process a PO with an out-of-date rate?</w:t>
      </w:r>
    </w:p>
    <w:p w14:paraId="28BFEC5E" w14:textId="0FA652AA" w:rsidR="0039444D" w:rsidRDefault="49919F7D" w:rsidP="6EDB71CF">
      <w:pPr>
        <w:pStyle w:val="ListParagraph"/>
        <w:numPr>
          <w:ilvl w:val="1"/>
          <w:numId w:val="12"/>
        </w:numPr>
        <w:rPr>
          <w:rFonts w:eastAsia="Arial"/>
        </w:rPr>
      </w:pPr>
      <w:r w:rsidRPr="6EDB71CF">
        <w:rPr>
          <w:rFonts w:eastAsia="Arial"/>
        </w:rPr>
        <w:t>You can unreceive and then cancel the PO, update the exchange rate, and recreate the PO using the new rate.</w:t>
      </w:r>
    </w:p>
    <w:p w14:paraId="756FE3FB" w14:textId="4BACED98" w:rsidR="00DF6564" w:rsidRDefault="211C2577" w:rsidP="6EDB71CF">
      <w:pPr>
        <w:pStyle w:val="ListParagraph"/>
        <w:numPr>
          <w:ilvl w:val="0"/>
          <w:numId w:val="12"/>
        </w:numPr>
        <w:rPr>
          <w:rFonts w:eastAsia="Arial"/>
          <w:b/>
          <w:bCs/>
        </w:rPr>
      </w:pPr>
      <w:r w:rsidRPr="6EDB71CF">
        <w:rPr>
          <w:rFonts w:eastAsia="Arial"/>
          <w:b/>
          <w:bCs/>
        </w:rPr>
        <w:t>Is there a limit to the number of currencies I can add?</w:t>
      </w:r>
    </w:p>
    <w:p w14:paraId="243A0D79" w14:textId="7BD29511" w:rsidR="007B08F7" w:rsidRDefault="0DED400D" w:rsidP="6EDB71CF">
      <w:pPr>
        <w:pStyle w:val="ListParagraph"/>
        <w:numPr>
          <w:ilvl w:val="1"/>
          <w:numId w:val="12"/>
        </w:numPr>
        <w:rPr>
          <w:rFonts w:eastAsia="Arial"/>
        </w:rPr>
      </w:pPr>
      <w:r w:rsidRPr="6EDB71CF">
        <w:rPr>
          <w:rFonts w:eastAsia="Arial"/>
        </w:rPr>
        <w:t>No, there is no limit currently but as the number of currencies increases, the maintenance of the rates will require more work.</w:t>
      </w:r>
    </w:p>
    <w:p w14:paraId="39489E78" w14:textId="673170E0" w:rsidR="6EDB71CF" w:rsidRDefault="6EDB71CF" w:rsidP="6EDB71CF">
      <w:pPr>
        <w:ind w:left="360"/>
        <w:rPr>
          <w:rFonts w:eastAsia="Arial"/>
        </w:rPr>
      </w:pPr>
    </w:p>
    <w:p w14:paraId="059ECA3D" w14:textId="10E2C123" w:rsidR="6E3FB6F2" w:rsidRDefault="6E3FB6F2" w:rsidP="6EDB71CF">
      <w:pPr>
        <w:spacing w:line="276" w:lineRule="auto"/>
        <w:rPr>
          <w:rFonts w:eastAsia="Arial"/>
        </w:rPr>
      </w:pPr>
      <w:r w:rsidRPr="6EDB71CF">
        <w:rPr>
          <w:rFonts w:eastAsia="Arial"/>
          <w:color w:val="000000" w:themeColor="text1"/>
        </w:rPr>
        <w:t xml:space="preserve">For additional resources, updates, and support, please visit our website or contact our helpdesk at </w:t>
      </w:r>
      <w:hyperlink r:id="rId12">
        <w:r w:rsidRPr="6EDB71CF">
          <w:rPr>
            <w:rStyle w:val="Hyperlink"/>
            <w:rFonts w:eastAsia="Arial"/>
          </w:rPr>
          <w:t>support@llumin.zendesk.com</w:t>
        </w:r>
      </w:hyperlink>
      <w:r w:rsidRPr="6EDB71CF">
        <w:rPr>
          <w:rFonts w:eastAsia="Arial"/>
          <w:color w:val="000000" w:themeColor="text1"/>
        </w:rPr>
        <w:t>. We are committed to ensuring your success with LLumin CMMS+</w:t>
      </w:r>
      <w:r w:rsidR="71FD410F" w:rsidRPr="6EDB71CF">
        <w:rPr>
          <w:rFonts w:eastAsia="Arial"/>
          <w:color w:val="000000" w:themeColor="text1"/>
        </w:rPr>
        <w:t xml:space="preserve">. </w:t>
      </w:r>
    </w:p>
    <w:p w14:paraId="70647BCA" w14:textId="5C892A81" w:rsidR="6EDB71CF" w:rsidRDefault="6EDB71CF" w:rsidP="6EDB71CF">
      <w:pPr>
        <w:rPr>
          <w:rFonts w:eastAsia="Arial"/>
        </w:rPr>
      </w:pPr>
    </w:p>
    <w:sectPr w:rsidR="6EDB71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H4DPMexX" int2:invalidationBookmarkName="" int2:hashCode="Rb1C0FXHZAIeAk" int2:id="IGeYjwC4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35DF9"/>
    <w:multiLevelType w:val="hybridMultilevel"/>
    <w:tmpl w:val="BF34D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DDE1F"/>
    <w:multiLevelType w:val="hybridMultilevel"/>
    <w:tmpl w:val="26587ECC"/>
    <w:lvl w:ilvl="0" w:tplc="ED569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724F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1E35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C2A6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F697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50BA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1421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402D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6AFC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D640D"/>
    <w:multiLevelType w:val="hybridMultilevel"/>
    <w:tmpl w:val="4290EB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3DC964"/>
    <w:multiLevelType w:val="hybridMultilevel"/>
    <w:tmpl w:val="3996B55C"/>
    <w:lvl w:ilvl="0" w:tplc="3482E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BC64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6A67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92B5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AA2C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3E2D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8CD5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DC82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FE68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71106"/>
    <w:multiLevelType w:val="hybridMultilevel"/>
    <w:tmpl w:val="DE3E842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B5427"/>
    <w:multiLevelType w:val="hybridMultilevel"/>
    <w:tmpl w:val="42588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82923"/>
    <w:multiLevelType w:val="hybridMultilevel"/>
    <w:tmpl w:val="DD824F46"/>
    <w:lvl w:ilvl="0" w:tplc="C86A19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CA03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F812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3416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0486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B847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38AB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9859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56AF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91185"/>
    <w:multiLevelType w:val="hybridMultilevel"/>
    <w:tmpl w:val="B784CA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1C7566"/>
    <w:multiLevelType w:val="hybridMultilevel"/>
    <w:tmpl w:val="329C14BA"/>
    <w:lvl w:ilvl="0" w:tplc="824C19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428D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9E42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B439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B6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700F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800C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3AF3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78A3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E9285D"/>
    <w:multiLevelType w:val="hybridMultilevel"/>
    <w:tmpl w:val="5DDC4948"/>
    <w:lvl w:ilvl="0" w:tplc="AA749F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3449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1AF4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A477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D203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A22E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D4DC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8E36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00C8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C9537E"/>
    <w:multiLevelType w:val="hybridMultilevel"/>
    <w:tmpl w:val="C3A40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B5F69"/>
    <w:multiLevelType w:val="hybridMultilevel"/>
    <w:tmpl w:val="8AC4EEF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1412A32"/>
    <w:multiLevelType w:val="hybridMultilevel"/>
    <w:tmpl w:val="BBAC45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2548D2"/>
    <w:multiLevelType w:val="hybridMultilevel"/>
    <w:tmpl w:val="2C309CF0"/>
    <w:lvl w:ilvl="0" w:tplc="19D8E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1092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B40C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5CAB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68BA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442D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407D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1445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940D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181481">
    <w:abstractNumId w:val="3"/>
  </w:num>
  <w:num w:numId="2" w16cid:durableId="186406242">
    <w:abstractNumId w:val="9"/>
  </w:num>
  <w:num w:numId="3" w16cid:durableId="232545141">
    <w:abstractNumId w:val="6"/>
  </w:num>
  <w:num w:numId="4" w16cid:durableId="1842962433">
    <w:abstractNumId w:val="13"/>
  </w:num>
  <w:num w:numId="5" w16cid:durableId="277377123">
    <w:abstractNumId w:val="1"/>
  </w:num>
  <w:num w:numId="6" w16cid:durableId="627660361">
    <w:abstractNumId w:val="8"/>
  </w:num>
  <w:num w:numId="7" w16cid:durableId="384455288">
    <w:abstractNumId w:val="5"/>
  </w:num>
  <w:num w:numId="8" w16cid:durableId="1584022515">
    <w:abstractNumId w:val="2"/>
  </w:num>
  <w:num w:numId="9" w16cid:durableId="1354771976">
    <w:abstractNumId w:val="7"/>
  </w:num>
  <w:num w:numId="10" w16cid:durableId="234554841">
    <w:abstractNumId w:val="11"/>
  </w:num>
  <w:num w:numId="11" w16cid:durableId="813567670">
    <w:abstractNumId w:val="4"/>
  </w:num>
  <w:num w:numId="12" w16cid:durableId="2080394858">
    <w:abstractNumId w:val="12"/>
  </w:num>
  <w:num w:numId="13" w16cid:durableId="1527258483">
    <w:abstractNumId w:val="0"/>
  </w:num>
  <w:num w:numId="14" w16cid:durableId="2218394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808"/>
    <w:rsid w:val="0000200F"/>
    <w:rsid w:val="00026388"/>
    <w:rsid w:val="00033D87"/>
    <w:rsid w:val="00040611"/>
    <w:rsid w:val="000757EA"/>
    <w:rsid w:val="000A6EC0"/>
    <w:rsid w:val="000B6B64"/>
    <w:rsid w:val="000D4904"/>
    <w:rsid w:val="00112290"/>
    <w:rsid w:val="00136F93"/>
    <w:rsid w:val="00186AF4"/>
    <w:rsid w:val="001C28C8"/>
    <w:rsid w:val="001C55B8"/>
    <w:rsid w:val="001E32EF"/>
    <w:rsid w:val="00242C72"/>
    <w:rsid w:val="002535AE"/>
    <w:rsid w:val="00282245"/>
    <w:rsid w:val="0029308B"/>
    <w:rsid w:val="00296902"/>
    <w:rsid w:val="002A401F"/>
    <w:rsid w:val="002E66EE"/>
    <w:rsid w:val="00306A16"/>
    <w:rsid w:val="00314C85"/>
    <w:rsid w:val="00315BAC"/>
    <w:rsid w:val="00352568"/>
    <w:rsid w:val="00356CD4"/>
    <w:rsid w:val="00364A03"/>
    <w:rsid w:val="0039444D"/>
    <w:rsid w:val="0039726E"/>
    <w:rsid w:val="003B0966"/>
    <w:rsid w:val="003B3382"/>
    <w:rsid w:val="003F7320"/>
    <w:rsid w:val="00417EA4"/>
    <w:rsid w:val="00486381"/>
    <w:rsid w:val="00496A9A"/>
    <w:rsid w:val="004B2808"/>
    <w:rsid w:val="004C0B6C"/>
    <w:rsid w:val="004D23F0"/>
    <w:rsid w:val="00505666"/>
    <w:rsid w:val="00524AE3"/>
    <w:rsid w:val="00530DB7"/>
    <w:rsid w:val="006549C9"/>
    <w:rsid w:val="006A1FF7"/>
    <w:rsid w:val="006A6689"/>
    <w:rsid w:val="006B2C29"/>
    <w:rsid w:val="006F066F"/>
    <w:rsid w:val="007111F5"/>
    <w:rsid w:val="007270FF"/>
    <w:rsid w:val="007A0617"/>
    <w:rsid w:val="007B08F7"/>
    <w:rsid w:val="007B6D53"/>
    <w:rsid w:val="008073DB"/>
    <w:rsid w:val="00813F36"/>
    <w:rsid w:val="0083318F"/>
    <w:rsid w:val="00837D8B"/>
    <w:rsid w:val="00850CAA"/>
    <w:rsid w:val="00854AFE"/>
    <w:rsid w:val="0086027C"/>
    <w:rsid w:val="008B7969"/>
    <w:rsid w:val="009005AC"/>
    <w:rsid w:val="009310B8"/>
    <w:rsid w:val="009902E2"/>
    <w:rsid w:val="009C1A9E"/>
    <w:rsid w:val="00A20E8C"/>
    <w:rsid w:val="00A418CD"/>
    <w:rsid w:val="00A563FD"/>
    <w:rsid w:val="00A60207"/>
    <w:rsid w:val="00A860E1"/>
    <w:rsid w:val="00A94D69"/>
    <w:rsid w:val="00AA184E"/>
    <w:rsid w:val="00AD3210"/>
    <w:rsid w:val="00AF3073"/>
    <w:rsid w:val="00B9139C"/>
    <w:rsid w:val="00BC32C3"/>
    <w:rsid w:val="00BE455D"/>
    <w:rsid w:val="00C072AD"/>
    <w:rsid w:val="00CA3A2A"/>
    <w:rsid w:val="00CC7E05"/>
    <w:rsid w:val="00CD34FC"/>
    <w:rsid w:val="00D25190"/>
    <w:rsid w:val="00D378DD"/>
    <w:rsid w:val="00D93D3F"/>
    <w:rsid w:val="00DA4F85"/>
    <w:rsid w:val="00DA6207"/>
    <w:rsid w:val="00DD4F3B"/>
    <w:rsid w:val="00DF6564"/>
    <w:rsid w:val="00E23D09"/>
    <w:rsid w:val="00E55FD6"/>
    <w:rsid w:val="00E67490"/>
    <w:rsid w:val="00E728E2"/>
    <w:rsid w:val="00E94D21"/>
    <w:rsid w:val="00EB312C"/>
    <w:rsid w:val="00EE2A6F"/>
    <w:rsid w:val="00EE6ABE"/>
    <w:rsid w:val="00F37CB5"/>
    <w:rsid w:val="00F44697"/>
    <w:rsid w:val="00F474CC"/>
    <w:rsid w:val="00F63363"/>
    <w:rsid w:val="00F75796"/>
    <w:rsid w:val="00F8286F"/>
    <w:rsid w:val="00F93BF0"/>
    <w:rsid w:val="00F97D95"/>
    <w:rsid w:val="0103C2F2"/>
    <w:rsid w:val="011417E9"/>
    <w:rsid w:val="020A00F7"/>
    <w:rsid w:val="02DC0AA5"/>
    <w:rsid w:val="032C9AAA"/>
    <w:rsid w:val="03875B02"/>
    <w:rsid w:val="03FDC71D"/>
    <w:rsid w:val="0436919A"/>
    <w:rsid w:val="049E6443"/>
    <w:rsid w:val="0652B76C"/>
    <w:rsid w:val="0784DEF6"/>
    <w:rsid w:val="08B95CC3"/>
    <w:rsid w:val="0917B7DA"/>
    <w:rsid w:val="0990F199"/>
    <w:rsid w:val="09CFE87A"/>
    <w:rsid w:val="0B365EDB"/>
    <w:rsid w:val="0B5712E1"/>
    <w:rsid w:val="0B8EAA87"/>
    <w:rsid w:val="0BD047BD"/>
    <w:rsid w:val="0C3BD1A7"/>
    <w:rsid w:val="0C734434"/>
    <w:rsid w:val="0C9D5F86"/>
    <w:rsid w:val="0CA0CD62"/>
    <w:rsid w:val="0D3EB327"/>
    <w:rsid w:val="0D83B938"/>
    <w:rsid w:val="0DE1E50E"/>
    <w:rsid w:val="0DED400D"/>
    <w:rsid w:val="0E0B4B5B"/>
    <w:rsid w:val="0EAFF1AA"/>
    <w:rsid w:val="0FDF440E"/>
    <w:rsid w:val="100B3A94"/>
    <w:rsid w:val="101C90C9"/>
    <w:rsid w:val="107BBA06"/>
    <w:rsid w:val="10B24772"/>
    <w:rsid w:val="10F02B2C"/>
    <w:rsid w:val="10FE0573"/>
    <w:rsid w:val="11324C7F"/>
    <w:rsid w:val="12050A44"/>
    <w:rsid w:val="123BC65D"/>
    <w:rsid w:val="13544F78"/>
    <w:rsid w:val="13B06D1E"/>
    <w:rsid w:val="140E7222"/>
    <w:rsid w:val="14820FD3"/>
    <w:rsid w:val="15DBD06E"/>
    <w:rsid w:val="162357A6"/>
    <w:rsid w:val="16DA09F1"/>
    <w:rsid w:val="16DC1054"/>
    <w:rsid w:val="17D89719"/>
    <w:rsid w:val="1808296D"/>
    <w:rsid w:val="18A68D03"/>
    <w:rsid w:val="19447872"/>
    <w:rsid w:val="19F784D8"/>
    <w:rsid w:val="1A29E2EB"/>
    <w:rsid w:val="1B1010AD"/>
    <w:rsid w:val="1C04C035"/>
    <w:rsid w:val="1C42A032"/>
    <w:rsid w:val="1CA6DF60"/>
    <w:rsid w:val="1D573F8E"/>
    <w:rsid w:val="1D9530AF"/>
    <w:rsid w:val="1DA09D2E"/>
    <w:rsid w:val="1E3D10D3"/>
    <w:rsid w:val="200E860E"/>
    <w:rsid w:val="211C2577"/>
    <w:rsid w:val="211F8D9D"/>
    <w:rsid w:val="21778A5B"/>
    <w:rsid w:val="21B878B0"/>
    <w:rsid w:val="21FD1015"/>
    <w:rsid w:val="23A92668"/>
    <w:rsid w:val="23FAA1A4"/>
    <w:rsid w:val="2815F54E"/>
    <w:rsid w:val="2958D429"/>
    <w:rsid w:val="297A2298"/>
    <w:rsid w:val="2A5B2E67"/>
    <w:rsid w:val="2CA899FC"/>
    <w:rsid w:val="2CC1C552"/>
    <w:rsid w:val="2D582BCD"/>
    <w:rsid w:val="2D7C052C"/>
    <w:rsid w:val="2DB89551"/>
    <w:rsid w:val="2E128DAD"/>
    <w:rsid w:val="2E3221DE"/>
    <w:rsid w:val="2E3853D5"/>
    <w:rsid w:val="2F47A295"/>
    <w:rsid w:val="2FEEAEE7"/>
    <w:rsid w:val="302AE07B"/>
    <w:rsid w:val="3082635D"/>
    <w:rsid w:val="3107B70E"/>
    <w:rsid w:val="316B83DE"/>
    <w:rsid w:val="32D6A234"/>
    <w:rsid w:val="33338307"/>
    <w:rsid w:val="34423220"/>
    <w:rsid w:val="346C3993"/>
    <w:rsid w:val="348D49FB"/>
    <w:rsid w:val="34FCEBC5"/>
    <w:rsid w:val="35BC22E1"/>
    <w:rsid w:val="35D8E766"/>
    <w:rsid w:val="35F82292"/>
    <w:rsid w:val="365FF8A4"/>
    <w:rsid w:val="3772AD15"/>
    <w:rsid w:val="37752D72"/>
    <w:rsid w:val="37E762A2"/>
    <w:rsid w:val="38296343"/>
    <w:rsid w:val="38E89193"/>
    <w:rsid w:val="3A65E8CE"/>
    <w:rsid w:val="3A843404"/>
    <w:rsid w:val="3B3DC507"/>
    <w:rsid w:val="3B49A656"/>
    <w:rsid w:val="3B87FA3B"/>
    <w:rsid w:val="3CBD17B1"/>
    <w:rsid w:val="3D91FE28"/>
    <w:rsid w:val="3EA0F45F"/>
    <w:rsid w:val="3EC8C6EA"/>
    <w:rsid w:val="3ED48E23"/>
    <w:rsid w:val="40B00CEC"/>
    <w:rsid w:val="422A4BEF"/>
    <w:rsid w:val="429DBF95"/>
    <w:rsid w:val="42FBAF0B"/>
    <w:rsid w:val="4432CB32"/>
    <w:rsid w:val="44784640"/>
    <w:rsid w:val="44B5F679"/>
    <w:rsid w:val="45143B39"/>
    <w:rsid w:val="452B7005"/>
    <w:rsid w:val="4545C521"/>
    <w:rsid w:val="45472BA2"/>
    <w:rsid w:val="4556075E"/>
    <w:rsid w:val="45DE671F"/>
    <w:rsid w:val="4639A554"/>
    <w:rsid w:val="463BABA8"/>
    <w:rsid w:val="4656B33C"/>
    <w:rsid w:val="47E6B195"/>
    <w:rsid w:val="48F925E3"/>
    <w:rsid w:val="4924F267"/>
    <w:rsid w:val="49919F7D"/>
    <w:rsid w:val="49AE3199"/>
    <w:rsid w:val="49AFA225"/>
    <w:rsid w:val="49B956B3"/>
    <w:rsid w:val="49EBABC6"/>
    <w:rsid w:val="49F5A504"/>
    <w:rsid w:val="4A45B498"/>
    <w:rsid w:val="4A9AA8C8"/>
    <w:rsid w:val="4AD30945"/>
    <w:rsid w:val="4B6928C5"/>
    <w:rsid w:val="4BF111EE"/>
    <w:rsid w:val="4FCAB9C6"/>
    <w:rsid w:val="4FEEA400"/>
    <w:rsid w:val="502410B4"/>
    <w:rsid w:val="5093854A"/>
    <w:rsid w:val="5108BE09"/>
    <w:rsid w:val="518BB6E9"/>
    <w:rsid w:val="51A0AA54"/>
    <w:rsid w:val="51A10A97"/>
    <w:rsid w:val="531EE016"/>
    <w:rsid w:val="5361D60A"/>
    <w:rsid w:val="54329DD8"/>
    <w:rsid w:val="546CDD10"/>
    <w:rsid w:val="54965512"/>
    <w:rsid w:val="5511FD66"/>
    <w:rsid w:val="55EECEFC"/>
    <w:rsid w:val="569FE4F8"/>
    <w:rsid w:val="5759AF41"/>
    <w:rsid w:val="57BAD600"/>
    <w:rsid w:val="57F8D760"/>
    <w:rsid w:val="5A0A0258"/>
    <w:rsid w:val="5ABE9782"/>
    <w:rsid w:val="5AE38812"/>
    <w:rsid w:val="5AF72DCB"/>
    <w:rsid w:val="5B17C027"/>
    <w:rsid w:val="5B4BC6C2"/>
    <w:rsid w:val="5BB5C4F1"/>
    <w:rsid w:val="5BBA8690"/>
    <w:rsid w:val="5BE03507"/>
    <w:rsid w:val="5CE4F6EA"/>
    <w:rsid w:val="5D3A7409"/>
    <w:rsid w:val="5E11025A"/>
    <w:rsid w:val="5E3A3492"/>
    <w:rsid w:val="5EAA8D62"/>
    <w:rsid w:val="5EC83CE1"/>
    <w:rsid w:val="5F9560D1"/>
    <w:rsid w:val="60CA6DB4"/>
    <w:rsid w:val="61059E3F"/>
    <w:rsid w:val="61276801"/>
    <w:rsid w:val="61343F12"/>
    <w:rsid w:val="619382CA"/>
    <w:rsid w:val="6382D6CB"/>
    <w:rsid w:val="645E9F7F"/>
    <w:rsid w:val="649A496D"/>
    <w:rsid w:val="64AD9331"/>
    <w:rsid w:val="687A30A5"/>
    <w:rsid w:val="6A28F07F"/>
    <w:rsid w:val="6A2A1B9F"/>
    <w:rsid w:val="6AF3D8F6"/>
    <w:rsid w:val="6B1C3550"/>
    <w:rsid w:val="6B790207"/>
    <w:rsid w:val="6BEDB34F"/>
    <w:rsid w:val="6C735E17"/>
    <w:rsid w:val="6CAEE0EC"/>
    <w:rsid w:val="6E0B9B48"/>
    <w:rsid w:val="6E2EA907"/>
    <w:rsid w:val="6E3FB6F2"/>
    <w:rsid w:val="6E55472C"/>
    <w:rsid w:val="6EB2237C"/>
    <w:rsid w:val="6EDB71CF"/>
    <w:rsid w:val="6F454B5C"/>
    <w:rsid w:val="7111B619"/>
    <w:rsid w:val="711EA7BD"/>
    <w:rsid w:val="71A80BF3"/>
    <w:rsid w:val="71AEFEED"/>
    <w:rsid w:val="71B7F1C0"/>
    <w:rsid w:val="71FD410F"/>
    <w:rsid w:val="722FBE3D"/>
    <w:rsid w:val="72519EBA"/>
    <w:rsid w:val="7294EC5A"/>
    <w:rsid w:val="72AEB54E"/>
    <w:rsid w:val="72D70E55"/>
    <w:rsid w:val="7637BACF"/>
    <w:rsid w:val="7A45A44D"/>
    <w:rsid w:val="7BA06246"/>
    <w:rsid w:val="7C0C93E2"/>
    <w:rsid w:val="7D6F0F8D"/>
    <w:rsid w:val="7DFF4824"/>
    <w:rsid w:val="7E030CA1"/>
    <w:rsid w:val="7E09B127"/>
    <w:rsid w:val="7EBDD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03784"/>
  <w15:chartTrackingRefBased/>
  <w15:docId w15:val="{78040FEE-646D-47F1-9F65-EC0D2C1C4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HAns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5AC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5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2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280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80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80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280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280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280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280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5AC"/>
    <w:rPr>
      <w:rFonts w:asciiTheme="majorHAnsi" w:eastAsiaTheme="majorEastAsia" w:hAnsiTheme="majorHAnsi" w:cstheme="majorBidi"/>
      <w:b/>
      <w:bCs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5256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280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80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80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280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280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280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280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28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28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80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280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28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28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28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28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28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28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2808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3F73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73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7320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73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7320"/>
    <w:rPr>
      <w:rFonts w:ascii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upport@llumin.zendesk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bcf0ad4-3bcd-4aa4-b137-f1cbb23d6d4e">
      <UserInfo>
        <DisplayName>Karen Rossi</DisplayName>
        <AccountId>22</AccountId>
        <AccountType/>
      </UserInfo>
      <UserInfo>
        <DisplayName>Daniel Monahan</DisplayName>
        <AccountId>106</AccountId>
        <AccountType/>
      </UserInfo>
      <UserInfo>
        <DisplayName>Edward Garibian</DisplayName>
        <AccountId>41</AccountId>
        <AccountType/>
      </UserInfo>
    </SharedWithUsers>
    <lcf76f155ced4ddcb4097134ff3c332f xmlns="1976e8cc-fd00-48d9-aed0-51ff324df069">
      <Terms xmlns="http://schemas.microsoft.com/office/infopath/2007/PartnerControls"/>
    </lcf76f155ced4ddcb4097134ff3c332f>
    <TaxCatchAll xmlns="cbcf0ad4-3bcd-4aa4-b137-f1cbb23d6d4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5222F90D52FB4D84BD1F7A93E49B43" ma:contentTypeVersion="16" ma:contentTypeDescription="Create a new document." ma:contentTypeScope="" ma:versionID="161f5da31a0316110ed2be14ae364cfe">
  <xsd:schema xmlns:xsd="http://www.w3.org/2001/XMLSchema" xmlns:xs="http://www.w3.org/2001/XMLSchema" xmlns:p="http://schemas.microsoft.com/office/2006/metadata/properties" xmlns:ns2="1976e8cc-fd00-48d9-aed0-51ff324df069" xmlns:ns3="cbcf0ad4-3bcd-4aa4-b137-f1cbb23d6d4e" targetNamespace="http://schemas.microsoft.com/office/2006/metadata/properties" ma:root="true" ma:fieldsID="d59e74333a0cd3dc2b4af9277cb6e543" ns2:_="" ns3:_="">
    <xsd:import namespace="1976e8cc-fd00-48d9-aed0-51ff324df069"/>
    <xsd:import namespace="cbcf0ad4-3bcd-4aa4-b137-f1cbb23d6d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6e8cc-fd00-48d9-aed0-51ff324df0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d7c930a-95e1-47fb-b700-5eae107e24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cf0ad4-3bcd-4aa4-b137-f1cbb23d6d4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813f81a-bc25-4a0a-aec1-8b7f66235e5b}" ma:internalName="TaxCatchAll" ma:showField="CatchAllData" ma:web="cbcf0ad4-3bcd-4aa4-b137-f1cbb23d6d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65E72F-E754-4AE5-AF10-8A4E23C2D593}">
  <ds:schemaRefs>
    <ds:schemaRef ds:uri="http://schemas.microsoft.com/office/2006/metadata/properties"/>
    <ds:schemaRef ds:uri="http://schemas.microsoft.com/office/infopath/2007/PartnerControls"/>
    <ds:schemaRef ds:uri="cbcf0ad4-3bcd-4aa4-b137-f1cbb23d6d4e"/>
    <ds:schemaRef ds:uri="1976e8cc-fd00-48d9-aed0-51ff324df069"/>
  </ds:schemaRefs>
</ds:datastoreItem>
</file>

<file path=customXml/itemProps2.xml><?xml version="1.0" encoding="utf-8"?>
<ds:datastoreItem xmlns:ds="http://schemas.openxmlformats.org/officeDocument/2006/customXml" ds:itemID="{DF3F3A9A-37B7-4E41-80FE-CA89A2549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76e8cc-fd00-48d9-aed0-51ff324df069"/>
    <ds:schemaRef ds:uri="cbcf0ad4-3bcd-4aa4-b137-f1cbb23d6d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B90DB3-019E-47AC-AC15-74405D774B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644</Words>
  <Characters>3677</Characters>
  <Application>Microsoft Office Word</Application>
  <DocSecurity>0</DocSecurity>
  <Lines>30</Lines>
  <Paragraphs>8</Paragraphs>
  <ScaleCrop>false</ScaleCrop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Smith</dc:creator>
  <cp:keywords/>
  <dc:description/>
  <cp:lastModifiedBy>Daniel Monahan</cp:lastModifiedBy>
  <cp:revision>89</cp:revision>
  <dcterms:created xsi:type="dcterms:W3CDTF">2024-05-03T14:55:00Z</dcterms:created>
  <dcterms:modified xsi:type="dcterms:W3CDTF">2024-05-17T20:46:00Z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0x010100995222F90D52FB4D84BD1F7A93E49B43</vt:lpwstr>
  </property>
  <property fmtid="{D5CDD505-2E9C-101B-9397-08002B2CF9AE}" pid="3" name="MediaServiceImageTags">
    <vt:lpwstr/>
  </property>
</Properties>
</file>